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94C" w:rsidRPr="00BF3D53" w:rsidRDefault="00791A6F" w:rsidP="00791A6F">
      <w:pPr>
        <w:spacing w:line="480" w:lineRule="auto"/>
        <w:jc w:val="center"/>
        <w:rPr>
          <w:rFonts w:ascii="Times New Roman" w:hAnsi="Times New Roman"/>
          <w:b/>
          <w:bCs/>
          <w:sz w:val="24"/>
          <w:szCs w:val="24"/>
        </w:rPr>
      </w:pPr>
      <w:r>
        <w:rPr>
          <w:rFonts w:ascii="Times New Roman" w:hAnsi="Times New Roman"/>
          <w:b/>
          <w:bCs/>
          <w:sz w:val="24"/>
          <w:szCs w:val="24"/>
        </w:rPr>
        <w:t>Literature Review</w:t>
      </w:r>
    </w:p>
    <w:p w:rsidR="0057294C" w:rsidRPr="00BF3D53" w:rsidRDefault="00791A6F" w:rsidP="00791A6F">
      <w:pPr>
        <w:spacing w:line="480" w:lineRule="auto"/>
        <w:jc w:val="center"/>
        <w:rPr>
          <w:rFonts w:ascii="Times New Roman" w:hAnsi="Times New Roman"/>
          <w:b/>
          <w:bCs/>
          <w:sz w:val="24"/>
          <w:szCs w:val="24"/>
        </w:rPr>
      </w:pPr>
      <w:r>
        <w:rPr>
          <w:rFonts w:ascii="Times New Roman" w:hAnsi="Times New Roman"/>
          <w:b/>
          <w:bCs/>
          <w:sz w:val="24"/>
          <w:szCs w:val="24"/>
        </w:rPr>
        <w:t>Marketing, Invest or not</w:t>
      </w:r>
    </w:p>
    <w:p w:rsidR="0057294C" w:rsidRPr="00BF3D53"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 xml:space="preserve">The current business environment in Saudi is aggressively competing for industrial suppliers due to numerous challenges to accomplish successfulness. During such times, marketing exercises tend to be more strategic than typical to overcome recessions and grow after the crisis. </w:t>
      </w:r>
      <w:r>
        <w:rPr>
          <w:rFonts w:ascii="Times New Roman" w:hAnsi="Times New Roman"/>
          <w:sz w:val="24"/>
          <w:szCs w:val="24"/>
        </w:rPr>
        <w:t>(</w:t>
      </w:r>
      <w:proofErr w:type="spellStart"/>
      <w:r>
        <w:rPr>
          <w:rFonts w:ascii="Times New Roman" w:hAnsi="Times New Roman"/>
          <w:sz w:val="24"/>
          <w:szCs w:val="24"/>
        </w:rPr>
        <w:t>Modon</w:t>
      </w:r>
      <w:proofErr w:type="spellEnd"/>
      <w:r>
        <w:rPr>
          <w:rFonts w:ascii="Times New Roman" w:hAnsi="Times New Roman"/>
          <w:sz w:val="24"/>
          <w:szCs w:val="24"/>
        </w:rPr>
        <w:t>, 2017)</w:t>
      </w:r>
      <w:r w:rsidRPr="00BF3D53">
        <w:rPr>
          <w:rFonts w:ascii="Times New Roman" w:hAnsi="Times New Roman"/>
          <w:sz w:val="24"/>
          <w:szCs w:val="24"/>
        </w:rPr>
        <w:t xml:space="preserve"> have highlighted the positive impact of marketing strategies that were employed by Greek food companies such as product customizations to meet complex B2B global demand. Alternatively, organizations tend to cut costs in all possible ways which mislead firms to flounder marketing decisions to seek short-term cash flow. In contrary, deciding to invest in marketing was an argued topic among researchers and their findings. Srinivasan et al., have claimed that B2B firms spend less on marketing activities during the crisis as they don’t gain significant profits (2011:53). Comparatively, O’Malley et al., (2011) have conducted a study that resulted marketing-oriented firms have benefited from marketing activities during recessions and crisis as those firms responded strategically to market changes and customer behavior. Srinivasan et al., (2011) are aligning their findings with O’Malley et al., (2011) that increased marketing activities in recessions improve organizational profits for distinct firms.</w:t>
      </w:r>
    </w:p>
    <w:p w:rsidR="0057294C" w:rsidRPr="00BF3D53"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 xml:space="preserve">Researchers that shared a definite opinion on spending on marketing activities such as </w:t>
      </w:r>
      <w:proofErr w:type="spellStart"/>
      <w:r w:rsidRPr="00BF3D53">
        <w:rPr>
          <w:rFonts w:ascii="Times New Roman" w:hAnsi="Times New Roman"/>
          <w:sz w:val="24"/>
          <w:szCs w:val="24"/>
        </w:rPr>
        <w:t>Notta</w:t>
      </w:r>
      <w:proofErr w:type="spellEnd"/>
      <w:r w:rsidRPr="00BF3D53">
        <w:rPr>
          <w:rFonts w:ascii="Times New Roman" w:hAnsi="Times New Roman"/>
          <w:sz w:val="24"/>
          <w:szCs w:val="24"/>
        </w:rPr>
        <w:t xml:space="preserve"> and </w:t>
      </w:r>
      <w:proofErr w:type="spellStart"/>
      <w:r w:rsidRPr="00BF3D53">
        <w:rPr>
          <w:rFonts w:ascii="Times New Roman" w:hAnsi="Times New Roman"/>
          <w:sz w:val="24"/>
          <w:szCs w:val="24"/>
        </w:rPr>
        <w:t>Vlachvei</w:t>
      </w:r>
      <w:proofErr w:type="spellEnd"/>
      <w:r w:rsidRPr="00BF3D53">
        <w:rPr>
          <w:rFonts w:ascii="Times New Roman" w:hAnsi="Times New Roman"/>
          <w:sz w:val="24"/>
          <w:szCs w:val="24"/>
        </w:rPr>
        <w:t xml:space="preserve"> (2015) and O’Malley et al., (2011), have referred to market orientations factors. Market orientation reflects activeness of organizations intelligence in gathering information about competitors, customer’s prices, and market niches. Similarly, </w:t>
      </w:r>
      <w:proofErr w:type="spellStart"/>
      <w:r w:rsidRPr="00BF3D53">
        <w:rPr>
          <w:rFonts w:ascii="Times New Roman" w:hAnsi="Times New Roman"/>
          <w:sz w:val="24"/>
          <w:szCs w:val="24"/>
        </w:rPr>
        <w:t>Özturan</w:t>
      </w:r>
      <w:proofErr w:type="spellEnd"/>
      <w:r w:rsidRPr="00BF3D53">
        <w:rPr>
          <w:rFonts w:ascii="Times New Roman" w:hAnsi="Times New Roman"/>
          <w:sz w:val="24"/>
          <w:szCs w:val="24"/>
        </w:rPr>
        <w:t xml:space="preserve"> et al., (2014) have stressed on the theoretical approach of marketing spending on advertisement during recessions and stated “Firms that increase their ad spending during economic contractions </w:t>
      </w:r>
      <w:r w:rsidRPr="00BF3D53">
        <w:rPr>
          <w:rFonts w:ascii="Times New Roman" w:hAnsi="Times New Roman"/>
          <w:sz w:val="24"/>
          <w:szCs w:val="24"/>
        </w:rPr>
        <w:lastRenderedPageBreak/>
        <w:t>experience higher sales, market share, and earnings during and after the contra</w:t>
      </w:r>
      <w:r>
        <w:rPr>
          <w:rFonts w:ascii="Times New Roman" w:hAnsi="Times New Roman"/>
          <w:sz w:val="24"/>
          <w:szCs w:val="24"/>
        </w:rPr>
        <w:t>ction” (</w:t>
      </w:r>
      <w:proofErr w:type="spellStart"/>
      <w:r>
        <w:rPr>
          <w:rFonts w:ascii="Times New Roman" w:hAnsi="Times New Roman"/>
          <w:sz w:val="24"/>
          <w:szCs w:val="24"/>
        </w:rPr>
        <w:t>Modon</w:t>
      </w:r>
      <w:proofErr w:type="spellEnd"/>
      <w:r>
        <w:rPr>
          <w:rFonts w:ascii="Times New Roman" w:hAnsi="Times New Roman"/>
          <w:sz w:val="24"/>
          <w:szCs w:val="24"/>
        </w:rPr>
        <w:t>, 2017)</w:t>
      </w:r>
      <w:r w:rsidRPr="00BF3D53">
        <w:rPr>
          <w:rFonts w:ascii="Times New Roman" w:hAnsi="Times New Roman"/>
          <w:sz w:val="24"/>
          <w:szCs w:val="24"/>
        </w:rPr>
        <w:t>. Their findings have validated that theoretical emphasize on the same phenomenon, that investing in marketing in parallel to market-orientation activates increases market share and minimizing rivals strength. Elsewhere, Srinivasan et al., (2011), have classified marketing spending on marketing and R&amp;D to B2B and B2C and profitability on each one. Our focus on the B2B environment have availed that numerous B2B goods firms have spent an appropriate amount on advertisement and R&amp;D with a positive stock return to R&amp;D but contrary to ads. Ultimately, the study has focused on the performance rewards to spending in recessions in marketing and R&amp;D which explains results differences.</w:t>
      </w:r>
    </w:p>
    <w:p w:rsidR="0057294C" w:rsidRPr="00BF3D53"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 xml:space="preserve">Authors have agreed on the vitality of marketing activities and its benefits. Although, disagreement has occurred on marketing method and specific movements, O’Malley et al., (2011) mean were on a strategic level of marketing to acquire market when compared to Srinivasan et al., (2011), on segregating the customers to B2B and B2C despite R&amp;D spending which was nearly positive for B2B and roughly negative in B2C. </w:t>
      </w:r>
      <w:proofErr w:type="spellStart"/>
      <w:r w:rsidRPr="00BF3D53">
        <w:rPr>
          <w:rFonts w:ascii="Times New Roman" w:hAnsi="Times New Roman"/>
          <w:sz w:val="24"/>
          <w:szCs w:val="24"/>
        </w:rPr>
        <w:t>Notta</w:t>
      </w:r>
      <w:proofErr w:type="spellEnd"/>
      <w:r w:rsidRPr="00BF3D53">
        <w:rPr>
          <w:rFonts w:ascii="Times New Roman" w:hAnsi="Times New Roman"/>
          <w:sz w:val="24"/>
          <w:szCs w:val="24"/>
        </w:rPr>
        <w:t xml:space="preserve"> and </w:t>
      </w:r>
      <w:proofErr w:type="spellStart"/>
      <w:r w:rsidRPr="00BF3D53">
        <w:rPr>
          <w:rFonts w:ascii="Times New Roman" w:hAnsi="Times New Roman"/>
          <w:sz w:val="24"/>
          <w:szCs w:val="24"/>
        </w:rPr>
        <w:t>Vlachvei</w:t>
      </w:r>
      <w:proofErr w:type="spellEnd"/>
      <w:r w:rsidRPr="00BF3D53">
        <w:rPr>
          <w:rFonts w:ascii="Times New Roman" w:hAnsi="Times New Roman"/>
          <w:sz w:val="24"/>
          <w:szCs w:val="24"/>
        </w:rPr>
        <w:t xml:space="preserve"> (2015), have partially agreed on R&amp;D positive impact on production as well as marketing strategies changes to obtain successful business and marketing orientation but differed in sampling which could have affected results. Furthermore, as the study has only focused on manufacturing sector exclusively, which could be biased the outcomes due to the variance of industry business pattern.</w:t>
      </w:r>
    </w:p>
    <w:p w:rsidR="0057294C" w:rsidRPr="00BF3D53" w:rsidRDefault="0057294C" w:rsidP="00791A6F">
      <w:pPr>
        <w:spacing w:line="480" w:lineRule="auto"/>
        <w:ind w:firstLine="720"/>
        <w:jc w:val="both"/>
        <w:rPr>
          <w:rFonts w:ascii="Times New Roman" w:hAnsi="Times New Roman"/>
          <w:sz w:val="24"/>
          <w:szCs w:val="24"/>
        </w:rPr>
      </w:pPr>
      <w:r w:rsidRPr="00BF3D53">
        <w:rPr>
          <w:rFonts w:ascii="Times New Roman" w:hAnsi="Times New Roman"/>
          <w:sz w:val="24"/>
          <w:szCs w:val="24"/>
        </w:rPr>
        <w:t xml:space="preserve">O’Malley et al. (2011) research conducted on Meta-analysis method which is based on a cumulative assessment of extent research. As it is considered a comprehensive approach to management research’s which could enrich but manipulate results due to reviewing existing data but not collected and analyzed (Shaw &amp; </w:t>
      </w:r>
      <w:proofErr w:type="spellStart"/>
      <w:r w:rsidRPr="00BF3D53">
        <w:rPr>
          <w:rFonts w:ascii="Times New Roman" w:hAnsi="Times New Roman"/>
          <w:sz w:val="24"/>
          <w:szCs w:val="24"/>
        </w:rPr>
        <w:t>Ertug</w:t>
      </w:r>
      <w:proofErr w:type="spellEnd"/>
      <w:r w:rsidRPr="00BF3D53">
        <w:rPr>
          <w:rFonts w:ascii="Times New Roman" w:hAnsi="Times New Roman"/>
          <w:sz w:val="24"/>
          <w:szCs w:val="24"/>
        </w:rPr>
        <w:t xml:space="preserve">, 2017). Srinivasan et al., (2011), have employed a two-pronged research approach to answer their research question which needed building a model </w:t>
      </w:r>
      <w:r w:rsidRPr="00BF3D53">
        <w:rPr>
          <w:rFonts w:ascii="Times New Roman" w:hAnsi="Times New Roman"/>
          <w:sz w:val="24"/>
          <w:szCs w:val="24"/>
        </w:rPr>
        <w:lastRenderedPageBreak/>
        <w:t xml:space="preserve">then empirically test it which predict logical mathematical results yet could be influential in </w:t>
      </w:r>
      <w:r>
        <w:rPr>
          <w:rFonts w:ascii="Times New Roman" w:hAnsi="Times New Roman"/>
          <w:sz w:val="24"/>
          <w:szCs w:val="24"/>
        </w:rPr>
        <w:t>falseness (</w:t>
      </w:r>
      <w:proofErr w:type="spellStart"/>
      <w:r>
        <w:rPr>
          <w:rFonts w:ascii="Times New Roman" w:hAnsi="Times New Roman"/>
          <w:sz w:val="24"/>
          <w:szCs w:val="24"/>
        </w:rPr>
        <w:t>Moton</w:t>
      </w:r>
      <w:proofErr w:type="spellEnd"/>
      <w:r>
        <w:rPr>
          <w:rFonts w:ascii="Times New Roman" w:hAnsi="Times New Roman"/>
          <w:sz w:val="24"/>
          <w:szCs w:val="24"/>
        </w:rPr>
        <w:t>, 2017)</w:t>
      </w:r>
      <w:r w:rsidRPr="00BF3D53">
        <w:rPr>
          <w:rFonts w:ascii="Times New Roman" w:hAnsi="Times New Roman"/>
          <w:sz w:val="24"/>
          <w:szCs w:val="24"/>
        </w:rPr>
        <w:t xml:space="preserve">. Moreover, globalization of business enhances the need for further studies on different countries/regions for deeper understanding noting that oil prices impacts globally and causing the global economic crisis. </w:t>
      </w:r>
      <w:proofErr w:type="spellStart"/>
      <w:r w:rsidRPr="00BF3D53">
        <w:rPr>
          <w:rFonts w:ascii="Times New Roman" w:hAnsi="Times New Roman"/>
          <w:sz w:val="24"/>
          <w:szCs w:val="24"/>
        </w:rPr>
        <w:t>Notta</w:t>
      </w:r>
      <w:proofErr w:type="spellEnd"/>
      <w:r w:rsidRPr="00BF3D53">
        <w:rPr>
          <w:rFonts w:ascii="Times New Roman" w:hAnsi="Times New Roman"/>
          <w:sz w:val="24"/>
          <w:szCs w:val="24"/>
        </w:rPr>
        <w:t xml:space="preserve"> and </w:t>
      </w:r>
      <w:proofErr w:type="spellStart"/>
      <w:r w:rsidRPr="00BF3D53">
        <w:rPr>
          <w:rFonts w:ascii="Times New Roman" w:hAnsi="Times New Roman"/>
          <w:sz w:val="24"/>
          <w:szCs w:val="24"/>
        </w:rPr>
        <w:t>Vlachvei</w:t>
      </w:r>
      <w:proofErr w:type="spellEnd"/>
      <w:r w:rsidRPr="00BF3D53">
        <w:rPr>
          <w:rFonts w:ascii="Times New Roman" w:hAnsi="Times New Roman"/>
          <w:sz w:val="24"/>
          <w:szCs w:val="24"/>
        </w:rPr>
        <w:t xml:space="preserve"> (2015) study have taken a qualitative paradigm from face-to-face, and semi-structured interviews which predict rich data but the further investigation could cover broader industries sample than only focusing on Greek food manufacturing.  </w:t>
      </w:r>
    </w:p>
    <w:p w:rsidR="0057294C" w:rsidRPr="00BF3D53" w:rsidRDefault="0057294C" w:rsidP="00791A6F">
      <w:pPr>
        <w:spacing w:line="480" w:lineRule="auto"/>
        <w:jc w:val="center"/>
        <w:rPr>
          <w:rFonts w:ascii="Times New Roman" w:hAnsi="Times New Roman"/>
          <w:b/>
          <w:bCs/>
          <w:sz w:val="24"/>
          <w:szCs w:val="24"/>
        </w:rPr>
      </w:pPr>
      <w:r w:rsidRPr="00BF3D53">
        <w:rPr>
          <w:rFonts w:ascii="Times New Roman" w:hAnsi="Times New Roman"/>
          <w:b/>
          <w:bCs/>
          <w:sz w:val="24"/>
          <w:szCs w:val="24"/>
        </w:rPr>
        <w:t>Supplie</w:t>
      </w:r>
      <w:r w:rsidR="00791A6F">
        <w:rPr>
          <w:rFonts w:ascii="Times New Roman" w:hAnsi="Times New Roman"/>
          <w:b/>
          <w:bCs/>
          <w:sz w:val="24"/>
          <w:szCs w:val="24"/>
        </w:rPr>
        <w:t>r’s and Buyer’s Power, Who Wins</w:t>
      </w:r>
    </w:p>
    <w:p w:rsidR="0057294C" w:rsidRPr="00BF3D53"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The relationship between the buyer and seller is based on offering substantial turnover for supplier and quality product with a reasonable pri</w:t>
      </w:r>
      <w:r>
        <w:rPr>
          <w:rFonts w:ascii="Times New Roman" w:hAnsi="Times New Roman"/>
          <w:sz w:val="24"/>
          <w:szCs w:val="24"/>
        </w:rPr>
        <w:t>ce for a buyer (</w:t>
      </w:r>
      <w:proofErr w:type="spellStart"/>
      <w:r>
        <w:rPr>
          <w:rFonts w:ascii="Times New Roman" w:hAnsi="Times New Roman"/>
          <w:sz w:val="24"/>
          <w:szCs w:val="24"/>
        </w:rPr>
        <w:t>Modon</w:t>
      </w:r>
      <w:proofErr w:type="spellEnd"/>
      <w:r>
        <w:rPr>
          <w:rFonts w:ascii="Times New Roman" w:hAnsi="Times New Roman"/>
          <w:sz w:val="24"/>
          <w:szCs w:val="24"/>
        </w:rPr>
        <w:t xml:space="preserve">, 2017) </w:t>
      </w:r>
      <w:r w:rsidRPr="00BF3D53">
        <w:rPr>
          <w:rFonts w:ascii="Times New Roman" w:hAnsi="Times New Roman"/>
          <w:sz w:val="24"/>
          <w:szCs w:val="24"/>
        </w:rPr>
        <w:t xml:space="preserve">cited in Lacoste and Blois, 2015). One party power could be seen as a manipulating form of a power base to the other party (e.g., buyer judges the market environment and stat to negotiate sequentially which permits the use of their power with ignoring product quality aspects). Another example is if a supplier is monopolizing a product that serves their commercial agenda. Notably, supplier’s competition and market situation enhance buyer’s power as stated: “Buyers should not be judged only on their ability to move all of their supply relationships into the buyer dominance box” (Lacoste &amp; Blois, 2015:565). That emphasize stresses on meeting a mutual-benefit point for buyer and seller. Comparatively, buyer’s power was described by </w:t>
      </w:r>
      <w:proofErr w:type="spellStart"/>
      <w:r w:rsidRPr="00BF3D53">
        <w:rPr>
          <w:rFonts w:ascii="Times New Roman" w:hAnsi="Times New Roman"/>
          <w:sz w:val="24"/>
          <w:szCs w:val="24"/>
        </w:rPr>
        <w:t>Jayaswal</w:t>
      </w:r>
      <w:proofErr w:type="spellEnd"/>
      <w:r w:rsidRPr="00BF3D53">
        <w:rPr>
          <w:rFonts w:ascii="Times New Roman" w:hAnsi="Times New Roman"/>
          <w:sz w:val="24"/>
          <w:szCs w:val="24"/>
        </w:rPr>
        <w:t xml:space="preserve"> and </w:t>
      </w:r>
      <w:proofErr w:type="spellStart"/>
      <w:r w:rsidRPr="00BF3D53">
        <w:rPr>
          <w:rFonts w:ascii="Times New Roman" w:hAnsi="Times New Roman"/>
          <w:sz w:val="24"/>
          <w:szCs w:val="24"/>
        </w:rPr>
        <w:t>Jewkes</w:t>
      </w:r>
      <w:proofErr w:type="spellEnd"/>
      <w:r w:rsidRPr="00BF3D53">
        <w:rPr>
          <w:rFonts w:ascii="Times New Roman" w:hAnsi="Times New Roman"/>
          <w:sz w:val="24"/>
          <w:szCs w:val="24"/>
        </w:rPr>
        <w:t xml:space="preserve"> (2016) that competition discriminates supplier’s control. Therefore, change of power position or acquiring balanced stats could be attained by suppliers if their approach was strategic, flexible and rewarding. Accordi</w:t>
      </w:r>
      <w:r>
        <w:rPr>
          <w:rFonts w:ascii="Times New Roman" w:hAnsi="Times New Roman"/>
          <w:sz w:val="24"/>
          <w:szCs w:val="24"/>
        </w:rPr>
        <w:t>ng to (Nelson, 2013),</w:t>
      </w:r>
      <w:r w:rsidRPr="00BF3D53">
        <w:rPr>
          <w:rFonts w:ascii="Times New Roman" w:hAnsi="Times New Roman"/>
          <w:sz w:val="24"/>
          <w:szCs w:val="24"/>
        </w:rPr>
        <w:t xml:space="preserve"> that mutually trusted relationship could be developed in the absence of power balance. Besides, relationships voids could appear and lead to unhealthy consequences. Qian (2014) have highlighted that implementing market-based strategy </w:t>
      </w:r>
      <w:r w:rsidRPr="00BF3D53">
        <w:rPr>
          <w:rFonts w:ascii="Times New Roman" w:hAnsi="Times New Roman"/>
          <w:sz w:val="24"/>
          <w:szCs w:val="24"/>
        </w:rPr>
        <w:lastRenderedPageBreak/>
        <w:t>and focusing on factors such as delivery time, price, quality, and service to meet buyer’s expectations. Lik</w:t>
      </w:r>
      <w:r>
        <w:rPr>
          <w:rFonts w:ascii="Times New Roman" w:hAnsi="Times New Roman"/>
          <w:sz w:val="24"/>
          <w:szCs w:val="24"/>
        </w:rPr>
        <w:t>ewise, (</w:t>
      </w:r>
      <w:proofErr w:type="spellStart"/>
      <w:r>
        <w:rPr>
          <w:rFonts w:ascii="Times New Roman" w:hAnsi="Times New Roman"/>
          <w:sz w:val="24"/>
          <w:szCs w:val="24"/>
        </w:rPr>
        <w:t>Suta</w:t>
      </w:r>
      <w:proofErr w:type="spellEnd"/>
      <w:r>
        <w:rPr>
          <w:rFonts w:ascii="Times New Roman" w:hAnsi="Times New Roman"/>
          <w:sz w:val="24"/>
          <w:szCs w:val="24"/>
        </w:rPr>
        <w:t xml:space="preserve"> et al 2014</w:t>
      </w:r>
      <w:r w:rsidRPr="00BF3D53">
        <w:rPr>
          <w:rFonts w:ascii="Times New Roman" w:hAnsi="Times New Roman"/>
          <w:sz w:val="24"/>
          <w:szCs w:val="24"/>
        </w:rPr>
        <w:t xml:space="preserve">), have stressed on innovation to overcome competition to stand in a right power position. </w:t>
      </w:r>
    </w:p>
    <w:p w:rsidR="0057294C" w:rsidRPr="00BF3D53"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Conversely, Geiger and Finch (2016) have defined such a competition as “market maturity” that reflects power. Notably, market maturity supports buyer’s power and thrive suppliers to increases communication level. Theoretically, customer service is an essential marketing element that enhances relationship building between buyers and sellers (</w:t>
      </w:r>
      <w:proofErr w:type="spellStart"/>
      <w:r w:rsidRPr="00BF3D53">
        <w:rPr>
          <w:rFonts w:ascii="Times New Roman" w:hAnsi="Times New Roman"/>
          <w:sz w:val="24"/>
          <w:szCs w:val="24"/>
        </w:rPr>
        <w:t>Sohail</w:t>
      </w:r>
      <w:proofErr w:type="spellEnd"/>
      <w:r w:rsidRPr="00BF3D53">
        <w:rPr>
          <w:rFonts w:ascii="Times New Roman" w:hAnsi="Times New Roman"/>
          <w:sz w:val="24"/>
          <w:szCs w:val="24"/>
        </w:rPr>
        <w:t xml:space="preserve"> and </w:t>
      </w:r>
      <w:proofErr w:type="spellStart"/>
      <w:r w:rsidRPr="00BF3D53">
        <w:rPr>
          <w:rFonts w:ascii="Times New Roman" w:hAnsi="Times New Roman"/>
          <w:sz w:val="24"/>
          <w:szCs w:val="24"/>
        </w:rPr>
        <w:t>Alashban</w:t>
      </w:r>
      <w:proofErr w:type="spellEnd"/>
      <w:r w:rsidRPr="00BF3D53">
        <w:rPr>
          <w:rFonts w:ascii="Times New Roman" w:hAnsi="Times New Roman"/>
          <w:sz w:val="24"/>
          <w:szCs w:val="24"/>
        </w:rPr>
        <w:t xml:space="preserve">, 2009). Contrariwise, industrial buyers are price sensitive and might ignore the customer service quality and turn to the commercial value. This emphasizes argued </w:t>
      </w:r>
      <w:r>
        <w:rPr>
          <w:rFonts w:ascii="Times New Roman" w:hAnsi="Times New Roman"/>
          <w:sz w:val="24"/>
          <w:szCs w:val="24"/>
        </w:rPr>
        <w:t>by (Nelson, 2013)</w:t>
      </w:r>
      <w:r w:rsidRPr="00BF3D53">
        <w:rPr>
          <w:rFonts w:ascii="Times New Roman" w:hAnsi="Times New Roman"/>
          <w:sz w:val="24"/>
          <w:szCs w:val="24"/>
        </w:rPr>
        <w:t xml:space="preserve"> that developing this type of relationships with industrial buyers has no potential added value, but yet sales team wil</w:t>
      </w:r>
      <w:r>
        <w:rPr>
          <w:rFonts w:ascii="Times New Roman" w:hAnsi="Times New Roman"/>
          <w:sz w:val="24"/>
          <w:szCs w:val="24"/>
        </w:rPr>
        <w:t>l play a crucial part to their C</w:t>
      </w:r>
      <w:r w:rsidRPr="00BF3D53">
        <w:rPr>
          <w:rFonts w:ascii="Times New Roman" w:hAnsi="Times New Roman"/>
          <w:sz w:val="24"/>
          <w:szCs w:val="24"/>
        </w:rPr>
        <w:t xml:space="preserve">ompanies market adaptability. </w:t>
      </w:r>
    </w:p>
    <w:p w:rsidR="0057294C" w:rsidRPr="00BF3D53"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Lacoste and Blois (2015) have employed a mixed approach combining field observations and articulating that to academic literature. Conduction of case studie</w:t>
      </w:r>
      <w:r>
        <w:rPr>
          <w:rFonts w:ascii="Times New Roman" w:hAnsi="Times New Roman"/>
          <w:sz w:val="24"/>
          <w:szCs w:val="24"/>
        </w:rPr>
        <w:t xml:space="preserve">s was recommended </w:t>
      </w:r>
      <w:r w:rsidRPr="00BF3D53">
        <w:rPr>
          <w:rFonts w:ascii="Times New Roman" w:hAnsi="Times New Roman"/>
          <w:sz w:val="24"/>
          <w:szCs w:val="24"/>
        </w:rPr>
        <w:t xml:space="preserve">if it will answer WH questions which is strengthen findings. Elsewhere, </w:t>
      </w:r>
      <w:proofErr w:type="spellStart"/>
      <w:r w:rsidRPr="00BF3D53">
        <w:rPr>
          <w:rFonts w:ascii="Times New Roman" w:hAnsi="Times New Roman"/>
          <w:sz w:val="24"/>
          <w:szCs w:val="24"/>
        </w:rPr>
        <w:t>Jayaswal</w:t>
      </w:r>
      <w:proofErr w:type="spellEnd"/>
      <w:r w:rsidRPr="00BF3D53">
        <w:rPr>
          <w:rFonts w:ascii="Times New Roman" w:hAnsi="Times New Roman"/>
          <w:sz w:val="24"/>
          <w:szCs w:val="24"/>
        </w:rPr>
        <w:t xml:space="preserve"> and </w:t>
      </w:r>
      <w:proofErr w:type="spellStart"/>
      <w:r w:rsidRPr="00BF3D53">
        <w:rPr>
          <w:rFonts w:ascii="Times New Roman" w:hAnsi="Times New Roman"/>
          <w:sz w:val="24"/>
          <w:szCs w:val="24"/>
        </w:rPr>
        <w:t>Jewkes</w:t>
      </w:r>
      <w:proofErr w:type="spellEnd"/>
      <w:r w:rsidRPr="00BF3D53">
        <w:rPr>
          <w:rFonts w:ascii="Times New Roman" w:hAnsi="Times New Roman"/>
          <w:sz w:val="24"/>
          <w:szCs w:val="24"/>
        </w:rPr>
        <w:t xml:space="preserve"> (2016) have followed an observation method along with answering specific questions</w:t>
      </w:r>
      <w:r>
        <w:rPr>
          <w:rFonts w:ascii="Times New Roman" w:hAnsi="Times New Roman"/>
          <w:sz w:val="24"/>
          <w:szCs w:val="24"/>
        </w:rPr>
        <w:t xml:space="preserve"> which articulated to (Nelson, 2013),</w:t>
      </w:r>
      <w:r w:rsidRPr="00BF3D53">
        <w:rPr>
          <w:rFonts w:ascii="Times New Roman" w:hAnsi="Times New Roman"/>
          <w:sz w:val="24"/>
          <w:szCs w:val="24"/>
        </w:rPr>
        <w:t xml:space="preserve"> emphasize. </w:t>
      </w:r>
      <w:proofErr w:type="spellStart"/>
      <w:r w:rsidRPr="00BF3D53">
        <w:rPr>
          <w:rFonts w:ascii="Times New Roman" w:hAnsi="Times New Roman"/>
          <w:sz w:val="24"/>
          <w:szCs w:val="24"/>
        </w:rPr>
        <w:t>Sohail</w:t>
      </w:r>
      <w:proofErr w:type="spellEnd"/>
      <w:r w:rsidRPr="00BF3D53">
        <w:rPr>
          <w:rFonts w:ascii="Times New Roman" w:hAnsi="Times New Roman"/>
          <w:sz w:val="24"/>
          <w:szCs w:val="24"/>
        </w:rPr>
        <w:t xml:space="preserve"> and </w:t>
      </w:r>
      <w:proofErr w:type="spellStart"/>
      <w:r w:rsidRPr="00BF3D53">
        <w:rPr>
          <w:rFonts w:ascii="Times New Roman" w:hAnsi="Times New Roman"/>
          <w:sz w:val="24"/>
          <w:szCs w:val="24"/>
        </w:rPr>
        <w:t>Alashaban</w:t>
      </w:r>
      <w:proofErr w:type="spellEnd"/>
      <w:r w:rsidRPr="00BF3D53">
        <w:rPr>
          <w:rFonts w:ascii="Times New Roman" w:hAnsi="Times New Roman"/>
          <w:sz w:val="24"/>
          <w:szCs w:val="24"/>
        </w:rPr>
        <w:t xml:space="preserve"> have taken a quantitative paradigm yet limited in participant response and outdated. In sum, intended research will fulfill the findings of the discussed articles to investigate updated strategic approaches through a qualitative method that used by suppliers to stay on the top of the deal. </w:t>
      </w:r>
    </w:p>
    <w:p w:rsidR="0057294C" w:rsidRDefault="0057294C" w:rsidP="0057294C">
      <w:pPr>
        <w:spacing w:line="480" w:lineRule="auto"/>
        <w:jc w:val="both"/>
        <w:rPr>
          <w:rFonts w:ascii="Times New Roman" w:hAnsi="Times New Roman"/>
          <w:sz w:val="24"/>
          <w:szCs w:val="24"/>
        </w:rPr>
      </w:pPr>
    </w:p>
    <w:p w:rsidR="00791A6F" w:rsidRDefault="00791A6F" w:rsidP="0057294C">
      <w:pPr>
        <w:spacing w:line="480" w:lineRule="auto"/>
        <w:jc w:val="both"/>
        <w:rPr>
          <w:rFonts w:ascii="Times New Roman" w:hAnsi="Times New Roman"/>
          <w:sz w:val="24"/>
          <w:szCs w:val="24"/>
        </w:rPr>
      </w:pPr>
    </w:p>
    <w:p w:rsidR="00791A6F" w:rsidRPr="00BF3D53" w:rsidRDefault="00791A6F" w:rsidP="0057294C">
      <w:pPr>
        <w:spacing w:line="480" w:lineRule="auto"/>
        <w:jc w:val="both"/>
        <w:rPr>
          <w:rFonts w:ascii="Times New Roman" w:hAnsi="Times New Roman"/>
          <w:sz w:val="24"/>
          <w:szCs w:val="24"/>
        </w:rPr>
      </w:pPr>
    </w:p>
    <w:p w:rsidR="0057294C" w:rsidRPr="00BF3D53" w:rsidRDefault="0057294C" w:rsidP="00791A6F">
      <w:pPr>
        <w:spacing w:line="480" w:lineRule="auto"/>
        <w:jc w:val="center"/>
        <w:rPr>
          <w:rFonts w:ascii="Times New Roman" w:hAnsi="Times New Roman"/>
          <w:b/>
          <w:bCs/>
          <w:sz w:val="24"/>
          <w:szCs w:val="24"/>
        </w:rPr>
      </w:pPr>
      <w:r w:rsidRPr="00BF3D53">
        <w:rPr>
          <w:rFonts w:ascii="Times New Roman" w:hAnsi="Times New Roman"/>
          <w:b/>
          <w:bCs/>
          <w:sz w:val="24"/>
          <w:szCs w:val="24"/>
        </w:rPr>
        <w:lastRenderedPageBreak/>
        <w:t xml:space="preserve">Market Competition </w:t>
      </w:r>
      <w:r w:rsidR="00791A6F">
        <w:rPr>
          <w:rFonts w:ascii="Times New Roman" w:hAnsi="Times New Roman"/>
          <w:b/>
          <w:bCs/>
          <w:sz w:val="24"/>
          <w:szCs w:val="24"/>
        </w:rPr>
        <w:t>and Industrials Innovation</w:t>
      </w:r>
    </w:p>
    <w:p w:rsidR="0057294C" w:rsidRPr="00BF3D53"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 xml:space="preserve">Saudi market is considered an emerging market that suppliers are keen on matching its requirements for long-term business. Local SME’s manufacturers have found that entering the market is challenging, but interestingly they can compete and </w:t>
      </w:r>
      <w:r>
        <w:rPr>
          <w:rFonts w:ascii="Times New Roman" w:hAnsi="Times New Roman"/>
          <w:sz w:val="24"/>
          <w:szCs w:val="24"/>
        </w:rPr>
        <w:t>survive (Nelson, 2013).</w:t>
      </w:r>
      <w:r w:rsidRPr="00BF3D53">
        <w:rPr>
          <w:rFonts w:ascii="Times New Roman" w:hAnsi="Times New Roman"/>
          <w:sz w:val="24"/>
          <w:szCs w:val="24"/>
        </w:rPr>
        <w:t xml:space="preserve"> Participants in this study have highlighted that competition is relatively equal when products are similar to products share the same quality. Whereas, the current business climate is unfavorable noting number of new entrants, demand, and supply issues. Additionally, constant entry of foreign competitors to supply similar locally existed products is complicating the challenge for supplier’s sustainability. Significant risk comes with competition is price reduction which impacts on firms health (</w:t>
      </w:r>
      <w:proofErr w:type="spellStart"/>
      <w:r w:rsidRPr="00BF3D53">
        <w:rPr>
          <w:rFonts w:ascii="Times New Roman" w:hAnsi="Times New Roman"/>
          <w:sz w:val="24"/>
          <w:szCs w:val="24"/>
        </w:rPr>
        <w:t>Rubel</w:t>
      </w:r>
      <w:proofErr w:type="spellEnd"/>
      <w:r w:rsidRPr="00BF3D53">
        <w:rPr>
          <w:rFonts w:ascii="Times New Roman" w:hAnsi="Times New Roman"/>
          <w:sz w:val="24"/>
          <w:szCs w:val="24"/>
        </w:rPr>
        <w:t>, 2</w:t>
      </w:r>
      <w:r>
        <w:rPr>
          <w:rFonts w:ascii="Times New Roman" w:hAnsi="Times New Roman"/>
          <w:sz w:val="24"/>
          <w:szCs w:val="24"/>
        </w:rPr>
        <w:t>018). ). (Nelson, 2013),</w:t>
      </w:r>
      <w:r w:rsidRPr="00BF3D53">
        <w:rPr>
          <w:rFonts w:ascii="Times New Roman" w:hAnsi="Times New Roman"/>
          <w:sz w:val="24"/>
          <w:szCs w:val="24"/>
        </w:rPr>
        <w:t xml:space="preserve"> have emphasized that Saudi buyers are not price sensitive but this is not true. Fast respond to competition is vital and comparing the local business scene to international suppliers it was highlighted as “slow” to reflect m</w:t>
      </w:r>
      <w:r>
        <w:rPr>
          <w:rFonts w:ascii="Times New Roman" w:hAnsi="Times New Roman"/>
          <w:sz w:val="24"/>
          <w:szCs w:val="24"/>
        </w:rPr>
        <w:t xml:space="preserve">arket changes (Nelson, 2013), </w:t>
      </w:r>
      <w:r w:rsidRPr="00BF3D53">
        <w:rPr>
          <w:rFonts w:ascii="Times New Roman" w:hAnsi="Times New Roman"/>
          <w:sz w:val="24"/>
          <w:szCs w:val="24"/>
        </w:rPr>
        <w:t xml:space="preserve">On the contrary, </w:t>
      </w:r>
      <w:proofErr w:type="spellStart"/>
      <w:r w:rsidRPr="00BF3D53">
        <w:rPr>
          <w:rFonts w:ascii="Times New Roman" w:hAnsi="Times New Roman"/>
          <w:sz w:val="24"/>
          <w:szCs w:val="24"/>
        </w:rPr>
        <w:t>Rubel</w:t>
      </w:r>
      <w:proofErr w:type="spellEnd"/>
      <w:r w:rsidRPr="00BF3D53">
        <w:rPr>
          <w:rFonts w:ascii="Times New Roman" w:hAnsi="Times New Roman"/>
          <w:sz w:val="24"/>
          <w:szCs w:val="24"/>
        </w:rPr>
        <w:t xml:space="preserve"> (2018) has resulted in their study that firms can benefit from price risks only if the market is competitive which is aligned with the current market.  However, “Law of prices” have taken an aggressive role due to the market saturation of supplier’s where “supplier’s collusion” can’t be achieved but compete to survive (</w:t>
      </w:r>
      <w:proofErr w:type="spellStart"/>
      <w:r w:rsidRPr="00BF3D53">
        <w:rPr>
          <w:rFonts w:ascii="Times New Roman" w:hAnsi="Times New Roman"/>
          <w:sz w:val="24"/>
          <w:szCs w:val="24"/>
        </w:rPr>
        <w:t>Delbono</w:t>
      </w:r>
      <w:proofErr w:type="spellEnd"/>
      <w:r w:rsidRPr="00BF3D53">
        <w:rPr>
          <w:rFonts w:ascii="Times New Roman" w:hAnsi="Times New Roman"/>
          <w:sz w:val="24"/>
          <w:szCs w:val="24"/>
        </w:rPr>
        <w:t xml:space="preserve"> et al., 2017). Theoretically, explicit collusion can bring marketers to fix prices and enjoy a profitable business. However, current competition doesn’t align with that emphasize since the race is on price </w:t>
      </w:r>
      <w:r>
        <w:rPr>
          <w:rFonts w:ascii="Times New Roman" w:hAnsi="Times New Roman"/>
          <w:sz w:val="24"/>
          <w:szCs w:val="24"/>
        </w:rPr>
        <w:t>(</w:t>
      </w:r>
      <w:proofErr w:type="spellStart"/>
      <w:r>
        <w:rPr>
          <w:rFonts w:ascii="Times New Roman" w:hAnsi="Times New Roman"/>
          <w:sz w:val="24"/>
          <w:szCs w:val="24"/>
        </w:rPr>
        <w:t>Suta</w:t>
      </w:r>
      <w:proofErr w:type="spellEnd"/>
      <w:r>
        <w:rPr>
          <w:rFonts w:ascii="Times New Roman" w:hAnsi="Times New Roman"/>
          <w:sz w:val="24"/>
          <w:szCs w:val="24"/>
        </w:rPr>
        <w:t xml:space="preserve"> et al 2014).</w:t>
      </w:r>
    </w:p>
    <w:p w:rsidR="0057294C" w:rsidRPr="00BF3D53"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 xml:space="preserve">However, innovation is inspired by competition as </w:t>
      </w:r>
      <w:proofErr w:type="spellStart"/>
      <w:r w:rsidRPr="00BF3D53">
        <w:rPr>
          <w:rFonts w:ascii="Times New Roman" w:hAnsi="Times New Roman"/>
          <w:sz w:val="24"/>
          <w:szCs w:val="24"/>
        </w:rPr>
        <w:t>Kaliappen</w:t>
      </w:r>
      <w:proofErr w:type="spellEnd"/>
      <w:r w:rsidRPr="00BF3D53">
        <w:rPr>
          <w:rFonts w:ascii="Times New Roman" w:hAnsi="Times New Roman"/>
          <w:sz w:val="24"/>
          <w:szCs w:val="24"/>
        </w:rPr>
        <w:t xml:space="preserve"> &amp; </w:t>
      </w:r>
      <w:proofErr w:type="spellStart"/>
      <w:r w:rsidRPr="00BF3D53">
        <w:rPr>
          <w:rFonts w:ascii="Times New Roman" w:hAnsi="Times New Roman"/>
          <w:sz w:val="24"/>
          <w:szCs w:val="24"/>
        </w:rPr>
        <w:t>Hilman</w:t>
      </w:r>
      <w:proofErr w:type="spellEnd"/>
      <w:r w:rsidRPr="00BF3D53">
        <w:rPr>
          <w:rFonts w:ascii="Times New Roman" w:hAnsi="Times New Roman"/>
          <w:sz w:val="24"/>
          <w:szCs w:val="24"/>
        </w:rPr>
        <w:t xml:space="preserve"> (2017) have argued that innovation can enrich products quality, process, and new market identification. Industrials movement to branding internationally through resellers can drive innovative marketing ideas in a competitive market (Gupta et al., 2016). Furthermore, building firm and </w:t>
      </w:r>
      <w:r w:rsidRPr="00BF3D53">
        <w:rPr>
          <w:rFonts w:ascii="Times New Roman" w:hAnsi="Times New Roman"/>
          <w:sz w:val="24"/>
          <w:szCs w:val="24"/>
        </w:rPr>
        <w:lastRenderedPageBreak/>
        <w:t xml:space="preserve">brand competitiveness will reflect on organizations capabilities that could be strengthened through the business relationship with resellers and suppliers. Considering the business partner at a foreign country as incubated entrepreneurial that provides resources and facilitates significant functions such as sales and growth (Gupta et al., 2016). Comparatively, open innovation policy to overcome inherent limitation through external knowledge to generate innovative approach. Lee et al., (2016), have stressed on the sourcing external knowledge from collaborators and customers to enhance firm’s market performance. Notably, direct and indirect engagement with collaborators are will require top management support to achieve its innovative marketing goals. Marketing-innovation would be a paradigm-shift for firms if firms intended to do so. A major market influence is customer’s knowledge and requirements to empower organizations meeting their specific inquiry. Lee et al., (2016),  have resulted that organizational innovation should focus on product innovation rather than increasing market performance by alliancing with external partners and by employing open innovation policy (such as research centers, customer’s). </w:t>
      </w:r>
      <w:proofErr w:type="spellStart"/>
      <w:r w:rsidRPr="00BF3D53">
        <w:rPr>
          <w:rFonts w:ascii="Times New Roman" w:hAnsi="Times New Roman"/>
          <w:sz w:val="24"/>
          <w:szCs w:val="24"/>
        </w:rPr>
        <w:t>Cyrino</w:t>
      </w:r>
      <w:proofErr w:type="spellEnd"/>
      <w:r w:rsidRPr="00BF3D53">
        <w:rPr>
          <w:rFonts w:ascii="Times New Roman" w:hAnsi="Times New Roman"/>
          <w:sz w:val="24"/>
          <w:szCs w:val="24"/>
        </w:rPr>
        <w:t xml:space="preserve"> (2017) had a different view that resources, macroeconomics, and microeconomics are three distinct factors can assist suppliers to survive. Perhaps these factors are useful yet t can’t be maintained in daily business practice and noting two of these factors are beyond organizations control.</w:t>
      </w:r>
    </w:p>
    <w:p w:rsidR="0057294C" w:rsidRPr="00BF3D53"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 xml:space="preserve">Monopolistic competition models “can’t capture the idea that increasing market size make competition fiercer by increasing the number of producers” (Campbell, 2011:1114). Nevertheless, the actual competition starts from the entry stage of a new supplier in the same market to reach competition stage. As a result, the dominated supplier will have wither to cut costs and continue operating with break-even operation thus seek healing-style monopolistic competition (Campbell, 2011). Elsewhere, recessions don’t support he emphasize, and specific </w:t>
      </w:r>
      <w:r w:rsidRPr="00BF3D53">
        <w:rPr>
          <w:rFonts w:ascii="Times New Roman" w:hAnsi="Times New Roman"/>
          <w:sz w:val="24"/>
          <w:szCs w:val="24"/>
        </w:rPr>
        <w:lastRenderedPageBreak/>
        <w:t xml:space="preserve">risks may turn a profitable business into a nightmare? According to </w:t>
      </w:r>
      <w:proofErr w:type="spellStart"/>
      <w:r w:rsidRPr="00BF3D53">
        <w:rPr>
          <w:rFonts w:ascii="Times New Roman" w:hAnsi="Times New Roman"/>
          <w:sz w:val="24"/>
          <w:szCs w:val="24"/>
        </w:rPr>
        <w:t>Rubel</w:t>
      </w:r>
      <w:proofErr w:type="spellEnd"/>
      <w:r w:rsidRPr="00BF3D53">
        <w:rPr>
          <w:rFonts w:ascii="Times New Roman" w:hAnsi="Times New Roman"/>
          <w:sz w:val="24"/>
          <w:szCs w:val="24"/>
        </w:rPr>
        <w:t xml:space="preserve"> (2017) that product-harm crises can lead to products death. Reviewing Samsung Note 7 incident when competing with Apple, Huawei and other phone manufacturers and suppliers are in an aggressive competition it has impacted negatively on Samsung.  Commonly, competition can’t be a positive or negative event in the market as it depends on how suppliers perceive it and buyers benefit from it. </w:t>
      </w:r>
    </w:p>
    <w:p w:rsidR="0057294C" w:rsidRPr="00791A6F" w:rsidRDefault="0057294C" w:rsidP="00791A6F">
      <w:pPr>
        <w:spacing w:line="480" w:lineRule="auto"/>
        <w:ind w:firstLine="720"/>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Suta</w:t>
      </w:r>
      <w:proofErr w:type="spellEnd"/>
      <w:r>
        <w:rPr>
          <w:rFonts w:ascii="Times New Roman" w:hAnsi="Times New Roman"/>
          <w:sz w:val="24"/>
          <w:szCs w:val="24"/>
        </w:rPr>
        <w:t xml:space="preserve"> et al 2014)</w:t>
      </w:r>
      <w:r w:rsidRPr="00BF3D53">
        <w:rPr>
          <w:rFonts w:ascii="Times New Roman" w:hAnsi="Times New Roman"/>
          <w:sz w:val="24"/>
          <w:szCs w:val="24"/>
        </w:rPr>
        <w:t xml:space="preserve"> have employed survey-based research that focused on manufacturer’s strategies in the market. Quantitative method limitation is that it only captures a general them of the problem but doesn’t achieve an in-depth compared to the qualitative method (Johnson &amp; Christensen, 2016). The gap is that study was taken place when oil price was at its peak which is not the case now. </w:t>
      </w:r>
      <w:proofErr w:type="spellStart"/>
      <w:r w:rsidRPr="00BF3D53">
        <w:rPr>
          <w:rFonts w:ascii="Times New Roman" w:hAnsi="Times New Roman"/>
          <w:sz w:val="24"/>
          <w:szCs w:val="24"/>
        </w:rPr>
        <w:t>Rubel</w:t>
      </w:r>
      <w:proofErr w:type="spellEnd"/>
      <w:r w:rsidRPr="00BF3D53">
        <w:rPr>
          <w:rFonts w:ascii="Times New Roman" w:hAnsi="Times New Roman"/>
          <w:sz w:val="24"/>
          <w:szCs w:val="24"/>
        </w:rPr>
        <w:t xml:space="preserve"> (2018) had a proposition to build a model on firms that are going through prices competition and product harm crises. The literature has resulted that companies can profit from the risk of product harm crises. Nonetheless, particular examples of firms had to be examined to validate this theory. Alternatively, </w:t>
      </w:r>
      <w:proofErr w:type="spellStart"/>
      <w:r w:rsidRPr="00BF3D53">
        <w:rPr>
          <w:rFonts w:ascii="Times New Roman" w:hAnsi="Times New Roman"/>
          <w:sz w:val="24"/>
          <w:szCs w:val="24"/>
        </w:rPr>
        <w:t>Cyrino</w:t>
      </w:r>
      <w:proofErr w:type="spellEnd"/>
      <w:r w:rsidRPr="00BF3D53">
        <w:rPr>
          <w:rFonts w:ascii="Times New Roman" w:hAnsi="Times New Roman"/>
          <w:sz w:val="24"/>
          <w:szCs w:val="24"/>
        </w:rPr>
        <w:t xml:space="preserve"> (2017) have had collected data through survey-based to analyze Brazilian industry international competitiveness. Similar to</w:t>
      </w:r>
      <w:r>
        <w:rPr>
          <w:rFonts w:ascii="Times New Roman" w:hAnsi="Times New Roman"/>
          <w:sz w:val="24"/>
          <w:szCs w:val="24"/>
        </w:rPr>
        <w:t xml:space="preserve"> (</w:t>
      </w:r>
      <w:proofErr w:type="spellStart"/>
      <w:r>
        <w:rPr>
          <w:rFonts w:ascii="Times New Roman" w:hAnsi="Times New Roman"/>
          <w:sz w:val="24"/>
          <w:szCs w:val="24"/>
        </w:rPr>
        <w:t>Suta</w:t>
      </w:r>
      <w:proofErr w:type="spellEnd"/>
      <w:r>
        <w:rPr>
          <w:rFonts w:ascii="Times New Roman" w:hAnsi="Times New Roman"/>
          <w:sz w:val="24"/>
          <w:szCs w:val="24"/>
        </w:rPr>
        <w:t xml:space="preserve"> et al 2014</w:t>
      </w:r>
      <w:r w:rsidRPr="00BF3D53">
        <w:rPr>
          <w:rFonts w:ascii="Times New Roman" w:hAnsi="Times New Roman"/>
          <w:sz w:val="24"/>
          <w:szCs w:val="24"/>
        </w:rPr>
        <w:t xml:space="preserve">) it is gapping the in-depth sense of the phenomenon which if employed could create extensive understanding from the firm’s perspective to enrich the literature.  </w:t>
      </w:r>
    </w:p>
    <w:p w:rsidR="0057294C" w:rsidRPr="00BF3D53" w:rsidRDefault="00791A6F" w:rsidP="00791A6F">
      <w:pPr>
        <w:spacing w:line="480" w:lineRule="auto"/>
        <w:jc w:val="center"/>
        <w:rPr>
          <w:rFonts w:ascii="Times New Roman" w:hAnsi="Times New Roman"/>
          <w:b/>
          <w:bCs/>
          <w:sz w:val="24"/>
          <w:szCs w:val="24"/>
        </w:rPr>
      </w:pPr>
      <w:r>
        <w:rPr>
          <w:rFonts w:ascii="Times New Roman" w:hAnsi="Times New Roman"/>
          <w:b/>
          <w:bCs/>
          <w:sz w:val="24"/>
          <w:szCs w:val="24"/>
        </w:rPr>
        <w:t>Strategic Approach</w:t>
      </w:r>
    </w:p>
    <w:p w:rsidR="0057294C" w:rsidRPr="00BF3D53" w:rsidRDefault="0057294C" w:rsidP="0057294C">
      <w:pPr>
        <w:spacing w:line="480" w:lineRule="auto"/>
        <w:ind w:firstLine="720"/>
        <w:jc w:val="both"/>
        <w:rPr>
          <w:rFonts w:ascii="Times New Roman" w:hAnsi="Times New Roman"/>
          <w:sz w:val="24"/>
          <w:szCs w:val="24"/>
        </w:rPr>
      </w:pPr>
      <w:r>
        <w:rPr>
          <w:rFonts w:ascii="Times New Roman" w:hAnsi="Times New Roman"/>
          <w:sz w:val="24"/>
          <w:szCs w:val="24"/>
        </w:rPr>
        <w:t>(Nelson, 2013)</w:t>
      </w:r>
      <w:r w:rsidRPr="00BF3D53">
        <w:rPr>
          <w:rFonts w:ascii="Times New Roman" w:hAnsi="Times New Roman"/>
          <w:sz w:val="24"/>
          <w:szCs w:val="24"/>
        </w:rPr>
        <w:t xml:space="preserve"> have argued that strategic-orientation is a vital examination of organizations patterns. Five market orientation elements such as customer-orientation, competitor-orientation, inter-functional co-ordination, a long-term focus and profit focus. Murray et al., (2011) is sharing a similar opinion as these factors termed orientation-performance. </w:t>
      </w:r>
      <w:r w:rsidRPr="00BF3D53">
        <w:rPr>
          <w:rFonts w:ascii="Times New Roman" w:hAnsi="Times New Roman"/>
          <w:sz w:val="24"/>
          <w:szCs w:val="24"/>
        </w:rPr>
        <w:lastRenderedPageBreak/>
        <w:t xml:space="preserve">Therefore, investment in resources to enhance capabilities to employ such a strategic approach is necessary. According to </w:t>
      </w:r>
      <w:proofErr w:type="spellStart"/>
      <w:r w:rsidRPr="00BF3D53">
        <w:rPr>
          <w:rFonts w:ascii="Times New Roman" w:hAnsi="Times New Roman"/>
          <w:sz w:val="24"/>
          <w:szCs w:val="24"/>
        </w:rPr>
        <w:t>Agic</w:t>
      </w:r>
      <w:proofErr w:type="spellEnd"/>
      <w:r w:rsidRPr="00BF3D53">
        <w:rPr>
          <w:rFonts w:ascii="Times New Roman" w:hAnsi="Times New Roman"/>
          <w:sz w:val="24"/>
          <w:szCs w:val="24"/>
        </w:rPr>
        <w:t xml:space="preserve"> et al., (2016) that strategic directions can improve sensing market trends before competitors. </w:t>
      </w:r>
    </w:p>
    <w:p w:rsidR="0057294C" w:rsidRPr="00BF3D53" w:rsidRDefault="0057294C" w:rsidP="0057294C">
      <w:pPr>
        <w:spacing w:line="480" w:lineRule="auto"/>
        <w:ind w:firstLine="720"/>
        <w:jc w:val="both"/>
        <w:rPr>
          <w:rFonts w:ascii="Times New Roman" w:hAnsi="Times New Roman"/>
          <w:sz w:val="24"/>
          <w:szCs w:val="24"/>
        </w:rPr>
      </w:pPr>
      <w:proofErr w:type="spellStart"/>
      <w:r w:rsidRPr="00BF3D53">
        <w:rPr>
          <w:rFonts w:ascii="Times New Roman" w:hAnsi="Times New Roman"/>
          <w:sz w:val="24"/>
          <w:szCs w:val="24"/>
        </w:rPr>
        <w:t>Frosen</w:t>
      </w:r>
      <w:proofErr w:type="spellEnd"/>
      <w:r w:rsidRPr="00BF3D53">
        <w:rPr>
          <w:rFonts w:ascii="Times New Roman" w:hAnsi="Times New Roman"/>
          <w:sz w:val="24"/>
          <w:szCs w:val="24"/>
        </w:rPr>
        <w:t xml:space="preserve"> et al., (2016) perspective were, that MO comes with a competing cost but no longer a performance superiority source. For example, Steve Jobs didn’t rely on MO to achieve success, and he followed his perception. Yet, their conclusion has resulted that organizations have to develop a market-oriented culture as a complementary factor. Alternatively, high-performance needs fast reflection where Saudi suppliers lack responding to market changes which affect development cycle due to work cultures (</w:t>
      </w:r>
      <w:proofErr w:type="spellStart"/>
      <w:r w:rsidRPr="00BF3D53">
        <w:rPr>
          <w:rFonts w:ascii="Times New Roman" w:hAnsi="Times New Roman"/>
          <w:sz w:val="24"/>
          <w:szCs w:val="24"/>
        </w:rPr>
        <w:t>Cordsman</w:t>
      </w:r>
      <w:proofErr w:type="spellEnd"/>
      <w:r w:rsidRPr="00BF3D53">
        <w:rPr>
          <w:rFonts w:ascii="Times New Roman" w:hAnsi="Times New Roman"/>
          <w:sz w:val="24"/>
          <w:szCs w:val="24"/>
        </w:rPr>
        <w:t xml:space="preserve">, 2011). </w:t>
      </w:r>
    </w:p>
    <w:p w:rsidR="0057294C"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Rebranding is an approach that firms have benefited from which articulated to the MO strategy. This exercise allows sending signals to the market and communicates to stakeholder’s that “the organization has changed”</w:t>
      </w:r>
      <w:r>
        <w:rPr>
          <w:rFonts w:ascii="Times New Roman" w:hAnsi="Times New Roman"/>
          <w:sz w:val="24"/>
          <w:szCs w:val="24"/>
        </w:rPr>
        <w:t xml:space="preserve"> (Nelson, 2013)</w:t>
      </w:r>
      <w:r w:rsidRPr="00BF3D53">
        <w:rPr>
          <w:rFonts w:ascii="Times New Roman" w:hAnsi="Times New Roman"/>
          <w:sz w:val="24"/>
          <w:szCs w:val="24"/>
        </w:rPr>
        <w:t xml:space="preserve">. This intangible emphasize will enforce full internal communication to grasp its decided goal </w:t>
      </w:r>
      <w:r>
        <w:rPr>
          <w:rFonts w:ascii="Times New Roman" w:hAnsi="Times New Roman"/>
          <w:sz w:val="24"/>
          <w:szCs w:val="24"/>
        </w:rPr>
        <w:t>(</w:t>
      </w:r>
      <w:proofErr w:type="spellStart"/>
      <w:r>
        <w:rPr>
          <w:rFonts w:ascii="Times New Roman" w:hAnsi="Times New Roman"/>
          <w:sz w:val="24"/>
          <w:szCs w:val="24"/>
        </w:rPr>
        <w:t>Suta</w:t>
      </w:r>
      <w:proofErr w:type="spellEnd"/>
      <w:r>
        <w:rPr>
          <w:rFonts w:ascii="Times New Roman" w:hAnsi="Times New Roman"/>
          <w:sz w:val="24"/>
          <w:szCs w:val="24"/>
        </w:rPr>
        <w:t xml:space="preserve"> et al 2014) </w:t>
      </w:r>
      <w:r w:rsidRPr="00BF3D53">
        <w:rPr>
          <w:rFonts w:ascii="Times New Roman" w:hAnsi="Times New Roman"/>
          <w:sz w:val="24"/>
          <w:szCs w:val="24"/>
        </w:rPr>
        <w:t>have argued that employees are the brand ambassadors that can influence rebranding message delivery which stresses on team spirit. However, branding in B2B was seen insufficient compared to B2C due to its characteristic. Notwithstanding, B2B branding raises customer’s expectations in the product and service provided and that increases loyalty in this mutual benefit relationship (Cassia et al., 2017). Moreover, stakeholder’s orientation is a vital exercise for branding as underlined by marketing scholars.</w:t>
      </w:r>
    </w:p>
    <w:p w:rsidR="0057294C" w:rsidRPr="00BF3D53"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 xml:space="preserve"> Adoption of stakeholder management increases firm’s legitimacy to benefit both, companies </w:t>
      </w:r>
      <w:r>
        <w:rPr>
          <w:rFonts w:ascii="Times New Roman" w:hAnsi="Times New Roman"/>
          <w:sz w:val="24"/>
          <w:szCs w:val="24"/>
        </w:rPr>
        <w:t>and stakeholders (</w:t>
      </w:r>
      <w:proofErr w:type="spellStart"/>
      <w:r>
        <w:rPr>
          <w:rFonts w:ascii="Times New Roman" w:hAnsi="Times New Roman"/>
          <w:sz w:val="24"/>
          <w:szCs w:val="24"/>
        </w:rPr>
        <w:t>Nurunnabi</w:t>
      </w:r>
      <w:proofErr w:type="spellEnd"/>
      <w:r>
        <w:rPr>
          <w:rFonts w:ascii="Times New Roman" w:hAnsi="Times New Roman"/>
          <w:sz w:val="24"/>
          <w:szCs w:val="24"/>
        </w:rPr>
        <w:t>, 2017)</w:t>
      </w:r>
      <w:r w:rsidRPr="00BF3D53">
        <w:rPr>
          <w:rFonts w:ascii="Times New Roman" w:hAnsi="Times New Roman"/>
          <w:sz w:val="24"/>
          <w:szCs w:val="24"/>
        </w:rPr>
        <w:t xml:space="preserve">. Sharing social and economic values to with stakeholder’ such as governments allow creating higher profits when firms are not profit driven. </w:t>
      </w:r>
      <w:r w:rsidRPr="00BF3D53">
        <w:rPr>
          <w:rFonts w:ascii="Times New Roman" w:hAnsi="Times New Roman"/>
          <w:sz w:val="24"/>
          <w:szCs w:val="24"/>
        </w:rPr>
        <w:lastRenderedPageBreak/>
        <w:t>In contrast, B2B marketing stakeholder’s multiple-network is complicated and can’t be achieved through less-prof</w:t>
      </w:r>
      <w:r>
        <w:rPr>
          <w:rFonts w:ascii="Times New Roman" w:hAnsi="Times New Roman"/>
          <w:sz w:val="24"/>
          <w:szCs w:val="24"/>
        </w:rPr>
        <w:t>itability</w:t>
      </w:r>
      <w:r w:rsidRPr="00BF3D53">
        <w:rPr>
          <w:rFonts w:ascii="Times New Roman" w:hAnsi="Times New Roman"/>
          <w:sz w:val="24"/>
          <w:szCs w:val="24"/>
        </w:rPr>
        <w:t xml:space="preserve">. Murray et al., (2011) have used an agency for surveying to collect data. A comprehensive sample of 1,314 firms from China has contributed to enrich the study on market-orientation. A strength falls on the number of participants and their experience with exporting where weakness was founded due to quantitative positivism approach. According to </w:t>
      </w:r>
      <w:r>
        <w:rPr>
          <w:rFonts w:ascii="Times New Roman" w:hAnsi="Times New Roman"/>
          <w:sz w:val="24"/>
          <w:szCs w:val="24"/>
        </w:rPr>
        <w:t>(Vision, 2017</w:t>
      </w:r>
      <w:r w:rsidRPr="00BF3D53">
        <w:rPr>
          <w:rFonts w:ascii="Times New Roman" w:hAnsi="Times New Roman"/>
          <w:sz w:val="24"/>
          <w:szCs w:val="24"/>
        </w:rPr>
        <w:t xml:space="preserve">) that quantitative criticism is unresolved measured significance. Likewise, </w:t>
      </w:r>
      <w:proofErr w:type="spellStart"/>
      <w:r w:rsidRPr="00BF3D53">
        <w:rPr>
          <w:rFonts w:ascii="Times New Roman" w:hAnsi="Times New Roman"/>
          <w:sz w:val="24"/>
          <w:szCs w:val="24"/>
        </w:rPr>
        <w:t>Frosen</w:t>
      </w:r>
      <w:proofErr w:type="spellEnd"/>
      <w:r w:rsidRPr="00BF3D53">
        <w:rPr>
          <w:rFonts w:ascii="Times New Roman" w:hAnsi="Times New Roman"/>
          <w:sz w:val="24"/>
          <w:szCs w:val="24"/>
        </w:rPr>
        <w:t xml:space="preserve"> et al., (2016) have employed previous studies data in novel method configurational analysis. A qualitative comparative analysis was applied too. The use of truth table in these studies allow the investigator to assess cases and avoid duplication and compare sufficien</w:t>
      </w:r>
      <w:r>
        <w:rPr>
          <w:rFonts w:ascii="Times New Roman" w:hAnsi="Times New Roman"/>
          <w:sz w:val="24"/>
          <w:szCs w:val="24"/>
        </w:rPr>
        <w:t>t amount of studies (Vision, 2017</w:t>
      </w:r>
      <w:r w:rsidRPr="00BF3D53">
        <w:rPr>
          <w:rFonts w:ascii="Times New Roman" w:hAnsi="Times New Roman"/>
          <w:sz w:val="24"/>
          <w:szCs w:val="24"/>
        </w:rPr>
        <w:t xml:space="preserve">). </w:t>
      </w:r>
      <w:proofErr w:type="spellStart"/>
      <w:r w:rsidRPr="00BF3D53">
        <w:rPr>
          <w:rFonts w:ascii="Times New Roman" w:hAnsi="Times New Roman"/>
          <w:sz w:val="24"/>
          <w:szCs w:val="24"/>
        </w:rPr>
        <w:t>Agic</w:t>
      </w:r>
      <w:proofErr w:type="spellEnd"/>
      <w:r w:rsidRPr="00BF3D53">
        <w:rPr>
          <w:rFonts w:ascii="Times New Roman" w:hAnsi="Times New Roman"/>
          <w:sz w:val="24"/>
          <w:szCs w:val="24"/>
        </w:rPr>
        <w:t xml:space="preserve"> et al., (2016) study was questioner that was collected from CEO’s and marketing manager at 220 firms. Study biasness was articulated to </w:t>
      </w:r>
      <w:r>
        <w:rPr>
          <w:rFonts w:ascii="Times New Roman" w:hAnsi="Times New Roman"/>
          <w:sz w:val="24"/>
          <w:szCs w:val="24"/>
        </w:rPr>
        <w:t>(</w:t>
      </w:r>
      <w:proofErr w:type="spellStart"/>
      <w:r>
        <w:rPr>
          <w:rFonts w:ascii="Times New Roman" w:hAnsi="Times New Roman"/>
          <w:sz w:val="24"/>
          <w:szCs w:val="24"/>
        </w:rPr>
        <w:t>Suta</w:t>
      </w:r>
      <w:proofErr w:type="spellEnd"/>
      <w:r>
        <w:rPr>
          <w:rFonts w:ascii="Times New Roman" w:hAnsi="Times New Roman"/>
          <w:sz w:val="24"/>
          <w:szCs w:val="24"/>
        </w:rPr>
        <w:t xml:space="preserve"> et al 2014) </w:t>
      </w:r>
      <w:r w:rsidRPr="00BF3D53">
        <w:rPr>
          <w:rFonts w:ascii="Times New Roman" w:hAnsi="Times New Roman"/>
          <w:sz w:val="24"/>
          <w:szCs w:val="24"/>
        </w:rPr>
        <w:t xml:space="preserve">and compare early respondents to late ones that recorded no significant difference. </w:t>
      </w:r>
    </w:p>
    <w:p w:rsidR="0057294C" w:rsidRPr="00681517" w:rsidRDefault="0057294C" w:rsidP="0057294C">
      <w:pPr>
        <w:spacing w:line="480" w:lineRule="auto"/>
        <w:jc w:val="both"/>
        <w:rPr>
          <w:rFonts w:ascii="Times New Roman" w:hAnsi="Times New Roman"/>
          <w:sz w:val="24"/>
          <w:szCs w:val="24"/>
        </w:rPr>
      </w:pPr>
      <w:r w:rsidRPr="00BF3D53">
        <w:rPr>
          <w:rFonts w:ascii="Times New Roman" w:hAnsi="Times New Roman"/>
          <w:sz w:val="24"/>
          <w:szCs w:val="24"/>
        </w:rPr>
        <w:t xml:space="preserve">This research will examine the firm’s strategic awareness and fulfill the literature with the latest trends and how the Saudi organization's response to strategic marketing. </w:t>
      </w:r>
    </w:p>
    <w:p w:rsidR="0057294C" w:rsidRPr="00BF3D53" w:rsidRDefault="0057294C" w:rsidP="00681517">
      <w:pPr>
        <w:spacing w:line="480" w:lineRule="auto"/>
        <w:jc w:val="center"/>
        <w:rPr>
          <w:rFonts w:ascii="Times New Roman" w:hAnsi="Times New Roman"/>
          <w:b/>
          <w:bCs/>
          <w:sz w:val="24"/>
          <w:szCs w:val="24"/>
        </w:rPr>
      </w:pPr>
      <w:r w:rsidRPr="00BF3D53">
        <w:rPr>
          <w:rFonts w:ascii="Times New Roman" w:hAnsi="Times New Roman"/>
          <w:b/>
          <w:bCs/>
          <w:sz w:val="24"/>
          <w:szCs w:val="24"/>
        </w:rPr>
        <w:t>Industr</w:t>
      </w:r>
      <w:r w:rsidR="00681517">
        <w:rPr>
          <w:rFonts w:ascii="Times New Roman" w:hAnsi="Times New Roman"/>
          <w:b/>
          <w:bCs/>
          <w:sz w:val="24"/>
          <w:szCs w:val="24"/>
        </w:rPr>
        <w:t>ial Companies and Profitability</w:t>
      </w:r>
    </w:p>
    <w:p w:rsidR="0057294C" w:rsidRPr="00BF3D53"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Industrial firms are challenged to innovate products that ensure the positive impact to sustain profitability. Eggert et al., (2014) have highlighted that innovative industrial firms tend to provide a service that included in their core product to enhance their revenues. Accordingly,</w:t>
      </w:r>
      <w:r>
        <w:rPr>
          <w:rFonts w:ascii="Times New Roman" w:hAnsi="Times New Roman"/>
          <w:sz w:val="24"/>
          <w:szCs w:val="24"/>
        </w:rPr>
        <w:t xml:space="preserve"> (Nelson, 2013)</w:t>
      </w:r>
      <w:r w:rsidRPr="00BF3D53">
        <w:rPr>
          <w:rFonts w:ascii="Times New Roman" w:hAnsi="Times New Roman"/>
          <w:sz w:val="24"/>
          <w:szCs w:val="24"/>
        </w:rPr>
        <w:t xml:space="preserve"> argued that customer’s service satisfaction of will ultimately has a positive impact on to increase industrial profits. This added-value service and solution offering will require higher collaboration with customers. However, if revenue isn’t recovering the cost of the innovative service, it will negatively impact. Yuri (2013) is sharing a similar approach to Eggert </w:t>
      </w:r>
      <w:r w:rsidRPr="00BF3D53">
        <w:rPr>
          <w:rFonts w:ascii="Times New Roman" w:hAnsi="Times New Roman"/>
          <w:sz w:val="24"/>
          <w:szCs w:val="24"/>
        </w:rPr>
        <w:lastRenderedPageBreak/>
        <w:t xml:space="preserve">et al., (2014) on the importance of industrial-innovative by reviewing its infrastructure, capability, internarial and external environment to create an innovative strategy. Notably, such an innovation require an investment fund which may add an obligation to further investment. </w:t>
      </w:r>
      <w:proofErr w:type="spellStart"/>
      <w:r w:rsidRPr="00BF3D53">
        <w:rPr>
          <w:rFonts w:ascii="Times New Roman" w:hAnsi="Times New Roman"/>
          <w:sz w:val="24"/>
          <w:szCs w:val="24"/>
        </w:rPr>
        <w:t>Töytäri</w:t>
      </w:r>
      <w:proofErr w:type="spellEnd"/>
      <w:r w:rsidRPr="00BF3D53">
        <w:rPr>
          <w:rFonts w:ascii="Times New Roman" w:hAnsi="Times New Roman"/>
          <w:sz w:val="24"/>
          <w:szCs w:val="24"/>
        </w:rPr>
        <w:t xml:space="preserve"> et al., (2017) have stressed that investment in staff training and information systems to overcome barriers to the service provided is essential. </w:t>
      </w:r>
    </w:p>
    <w:p w:rsidR="0057294C" w:rsidRPr="00BF3D53"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 xml:space="preserve">Notably, adding value will enforce revisiting pricing strategy to benefit from such innovative or service. Strategic pricing requires strong communication between marketing and another department to reflect customers and market behaviors. According to </w:t>
      </w:r>
      <w:r>
        <w:rPr>
          <w:rFonts w:ascii="Times New Roman" w:hAnsi="Times New Roman"/>
          <w:sz w:val="24"/>
          <w:szCs w:val="24"/>
        </w:rPr>
        <w:t>(</w:t>
      </w:r>
      <w:proofErr w:type="spellStart"/>
      <w:r>
        <w:rPr>
          <w:rFonts w:ascii="Times New Roman" w:hAnsi="Times New Roman"/>
          <w:sz w:val="24"/>
          <w:szCs w:val="24"/>
        </w:rPr>
        <w:t>Nurunnabi</w:t>
      </w:r>
      <w:proofErr w:type="spellEnd"/>
      <w:r>
        <w:rPr>
          <w:rFonts w:ascii="Times New Roman" w:hAnsi="Times New Roman"/>
          <w:sz w:val="24"/>
          <w:szCs w:val="24"/>
        </w:rPr>
        <w:t xml:space="preserve">, </w:t>
      </w:r>
      <w:r w:rsidRPr="0095746C">
        <w:rPr>
          <w:rFonts w:ascii="Times New Roman" w:hAnsi="Times New Roman"/>
          <w:sz w:val="24"/>
          <w:szCs w:val="24"/>
        </w:rPr>
        <w:t xml:space="preserve">2017). </w:t>
      </w:r>
      <w:bookmarkStart w:id="0" w:name="_GoBack"/>
      <w:bookmarkEnd w:id="0"/>
      <w:r w:rsidR="00681517" w:rsidRPr="00BF3D53">
        <w:rPr>
          <w:rFonts w:ascii="Times New Roman" w:hAnsi="Times New Roman"/>
          <w:sz w:val="24"/>
          <w:szCs w:val="24"/>
        </w:rPr>
        <w:t>Pricing</w:t>
      </w:r>
      <w:r w:rsidRPr="00BF3D53">
        <w:rPr>
          <w:rFonts w:ascii="Times New Roman" w:hAnsi="Times New Roman"/>
          <w:sz w:val="24"/>
          <w:szCs w:val="24"/>
        </w:rPr>
        <w:t xml:space="preserve"> decision could be boon or bane an industrial firm, but yet it may categorize the following:</w:t>
      </w:r>
    </w:p>
    <w:p w:rsidR="0057294C" w:rsidRPr="00BF3D53" w:rsidRDefault="0057294C" w:rsidP="0057294C">
      <w:pPr>
        <w:spacing w:line="480" w:lineRule="auto"/>
        <w:jc w:val="both"/>
        <w:rPr>
          <w:rFonts w:ascii="Times New Roman" w:hAnsi="Times New Roman"/>
          <w:sz w:val="24"/>
          <w:szCs w:val="24"/>
        </w:rPr>
      </w:pPr>
      <w:r w:rsidRPr="00BF3D53">
        <w:rPr>
          <w:rFonts w:ascii="Times New Roman" w:hAnsi="Times New Roman"/>
          <w:sz w:val="24"/>
          <w:szCs w:val="24"/>
        </w:rPr>
        <w:t xml:space="preserve">•    Cost-based </w:t>
      </w:r>
    </w:p>
    <w:p w:rsidR="0057294C" w:rsidRPr="00BF3D53" w:rsidRDefault="0057294C" w:rsidP="0057294C">
      <w:pPr>
        <w:spacing w:line="480" w:lineRule="auto"/>
        <w:jc w:val="both"/>
        <w:rPr>
          <w:rFonts w:ascii="Times New Roman" w:hAnsi="Times New Roman"/>
          <w:sz w:val="24"/>
          <w:szCs w:val="24"/>
        </w:rPr>
      </w:pPr>
      <w:r w:rsidRPr="00BF3D53">
        <w:rPr>
          <w:rFonts w:ascii="Times New Roman" w:hAnsi="Times New Roman"/>
          <w:sz w:val="24"/>
          <w:szCs w:val="24"/>
        </w:rPr>
        <w:t xml:space="preserve">•    Competition-based </w:t>
      </w:r>
    </w:p>
    <w:p w:rsidR="0057294C" w:rsidRPr="00BF3D53" w:rsidRDefault="0057294C" w:rsidP="0057294C">
      <w:pPr>
        <w:spacing w:line="480" w:lineRule="auto"/>
        <w:jc w:val="both"/>
        <w:rPr>
          <w:rFonts w:ascii="Times New Roman" w:hAnsi="Times New Roman"/>
          <w:sz w:val="24"/>
          <w:szCs w:val="24"/>
        </w:rPr>
      </w:pPr>
      <w:r w:rsidRPr="00BF3D53">
        <w:rPr>
          <w:rFonts w:ascii="Times New Roman" w:hAnsi="Times New Roman"/>
          <w:sz w:val="24"/>
          <w:szCs w:val="24"/>
        </w:rPr>
        <w:t>•    Customer value-based</w:t>
      </w:r>
    </w:p>
    <w:p w:rsidR="0057294C"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Comparatively, segregation of products and customers can assist an effective value-based. A disagreement from practitioners has occurred that internal industrial cultures is product-based and doesn’t facilitate the service-based strategy (</w:t>
      </w:r>
      <w:proofErr w:type="spellStart"/>
      <w:r w:rsidRPr="00BF3D53">
        <w:rPr>
          <w:rFonts w:ascii="Times New Roman" w:hAnsi="Times New Roman"/>
          <w:sz w:val="24"/>
          <w:szCs w:val="24"/>
        </w:rPr>
        <w:t>Töytäri</w:t>
      </w:r>
      <w:proofErr w:type="spellEnd"/>
      <w:r w:rsidRPr="00BF3D53">
        <w:rPr>
          <w:rFonts w:ascii="Times New Roman" w:hAnsi="Times New Roman"/>
          <w:sz w:val="24"/>
          <w:szCs w:val="24"/>
        </w:rPr>
        <w:t xml:space="preserve"> et al., 2017). As a result, grouping customers to reach profitable strategy will require beyond investment and preparation to grasp fruitful result.</w:t>
      </w:r>
      <w:r>
        <w:rPr>
          <w:rFonts w:ascii="Times New Roman" w:hAnsi="Times New Roman"/>
          <w:sz w:val="24"/>
          <w:szCs w:val="24"/>
        </w:rPr>
        <w:t xml:space="preserve"> </w:t>
      </w:r>
      <w:r w:rsidRPr="00BF3D53">
        <w:rPr>
          <w:rFonts w:ascii="Times New Roman" w:hAnsi="Times New Roman"/>
          <w:sz w:val="24"/>
          <w:szCs w:val="24"/>
        </w:rPr>
        <w:t xml:space="preserve">Eggert et al., (2014) study was a questionnaire-based through a reputable third-party. The survey was sent reputedly to seniors from industrial fields. </w:t>
      </w:r>
    </w:p>
    <w:p w:rsidR="0057294C" w:rsidRDefault="0057294C" w:rsidP="0057294C">
      <w:pPr>
        <w:spacing w:line="480" w:lineRule="auto"/>
        <w:ind w:firstLine="720"/>
        <w:jc w:val="both"/>
        <w:rPr>
          <w:rFonts w:ascii="Times New Roman" w:hAnsi="Times New Roman"/>
          <w:sz w:val="24"/>
          <w:szCs w:val="24"/>
        </w:rPr>
      </w:pPr>
      <w:r w:rsidRPr="00BF3D53">
        <w:rPr>
          <w:rFonts w:ascii="Times New Roman" w:hAnsi="Times New Roman"/>
          <w:sz w:val="24"/>
          <w:szCs w:val="24"/>
        </w:rPr>
        <w:t xml:space="preserve">The empirical research has analyzed 558 industrial company across various industries which validates the results that were observed from the broad sample and its analysis. Hitherto, a </w:t>
      </w:r>
      <w:r w:rsidRPr="00BF3D53">
        <w:rPr>
          <w:rFonts w:ascii="Times New Roman" w:hAnsi="Times New Roman"/>
          <w:sz w:val="24"/>
          <w:szCs w:val="24"/>
        </w:rPr>
        <w:lastRenderedPageBreak/>
        <w:t xml:space="preserve">newer qualitative method could reflect a distant internal understanding of innovative and profitability exercises that employed by industrials. Elsewhere, Yuri (2013) applied a quantitative assessment for his study which predicted in-depth view on innovation strategy and examples. Then a quantitative evaluation of collected components as initially used a complex approach which has enriched the literature about the phenomenon. An advantage could be seen as a beneficiary for educational purposes which could be simpler for practitioners where its complexity lies in the researcher presentation and analysis of data (Hetherington, 2013).  Whereas </w:t>
      </w:r>
      <w:proofErr w:type="spellStart"/>
      <w:r w:rsidRPr="00BF3D53">
        <w:rPr>
          <w:rFonts w:ascii="Times New Roman" w:hAnsi="Times New Roman"/>
          <w:sz w:val="24"/>
          <w:szCs w:val="24"/>
        </w:rPr>
        <w:t>Töytäri</w:t>
      </w:r>
      <w:proofErr w:type="spellEnd"/>
      <w:r w:rsidRPr="00BF3D53">
        <w:rPr>
          <w:rFonts w:ascii="Times New Roman" w:hAnsi="Times New Roman"/>
          <w:sz w:val="24"/>
          <w:szCs w:val="24"/>
        </w:rPr>
        <w:t xml:space="preserve"> et al., (2017) paradigm was a qualitative single-case study which reflected participant’s opinions and blinds the research to the real-life. Limitation of the study has fallen on data from one case which may produce ineffective generalization of findings. </w:t>
      </w:r>
    </w:p>
    <w:p w:rsidR="0057294C" w:rsidRPr="00BF3D53" w:rsidRDefault="0057294C" w:rsidP="0057294C">
      <w:pPr>
        <w:spacing w:line="480" w:lineRule="auto"/>
        <w:ind w:firstLine="720"/>
        <w:jc w:val="both"/>
        <w:rPr>
          <w:rFonts w:ascii="Times New Roman" w:hAnsi="Times New Roman"/>
          <w:sz w:val="24"/>
          <w:szCs w:val="24"/>
        </w:rPr>
      </w:pPr>
    </w:p>
    <w:p w:rsidR="0057294C" w:rsidRPr="00A52AF1" w:rsidRDefault="0057294C" w:rsidP="0057294C">
      <w:pPr>
        <w:spacing w:line="480" w:lineRule="auto"/>
        <w:jc w:val="both"/>
        <w:rPr>
          <w:rFonts w:ascii="Times New Roman" w:hAnsi="Times New Roman"/>
          <w:sz w:val="24"/>
          <w:szCs w:val="24"/>
        </w:rPr>
      </w:pPr>
    </w:p>
    <w:p w:rsidR="0057294C" w:rsidRPr="00A52AF1" w:rsidRDefault="0057294C" w:rsidP="0057294C">
      <w:pPr>
        <w:spacing w:line="480" w:lineRule="auto"/>
        <w:jc w:val="both"/>
        <w:rPr>
          <w:rFonts w:ascii="Times New Roman" w:hAnsi="Times New Roman"/>
          <w:sz w:val="24"/>
          <w:szCs w:val="24"/>
        </w:rPr>
      </w:pPr>
    </w:p>
    <w:p w:rsidR="0057294C" w:rsidRPr="00382A7F" w:rsidRDefault="0057294C" w:rsidP="0057294C">
      <w:pPr>
        <w:spacing w:line="480" w:lineRule="auto"/>
        <w:jc w:val="both"/>
        <w:rPr>
          <w:rFonts w:cs="Calibri"/>
          <w:sz w:val="24"/>
          <w:szCs w:val="24"/>
        </w:rPr>
      </w:pPr>
    </w:p>
    <w:p w:rsidR="00DC5054" w:rsidRDefault="00DC5054" w:rsidP="0057294C">
      <w:pPr>
        <w:spacing w:line="480" w:lineRule="auto"/>
        <w:jc w:val="both"/>
      </w:pPr>
    </w:p>
    <w:sectPr w:rsidR="00DC5054" w:rsidSect="00DC50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7294C"/>
    <w:rsid w:val="0057294C"/>
    <w:rsid w:val="00681517"/>
    <w:rsid w:val="00791A6F"/>
    <w:rsid w:val="00B539D8"/>
    <w:rsid w:val="00BA1D9B"/>
    <w:rsid w:val="00DC5054"/>
    <w:rsid w:val="00F771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94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2985</Words>
  <Characters>17015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cyber</Company>
  <LinksUpToDate>false</LinksUpToDate>
  <CharactersWithSpaces>19961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Cyber</dc:creator>
  <cp:keywords/>
  <dc:description/>
  <cp:lastModifiedBy>FRANK</cp:lastModifiedBy>
  <cp:revision>2</cp:revision>
  <dcterms:created xsi:type="dcterms:W3CDTF">2018-04-01T14:53:00Z</dcterms:created>
  <dcterms:modified xsi:type="dcterms:W3CDTF">2018-04-01T14:53:00Z</dcterms:modified>
</cp:coreProperties>
</file>